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106AF8" w:rsidRPr="00106AF8" w14:paraId="144D3366" w14:textId="77777777" w:rsidTr="00BF1F1F">
        <w:tc>
          <w:tcPr>
            <w:tcW w:w="2835" w:type="dxa"/>
            <w:vAlign w:val="center"/>
          </w:tcPr>
          <w:p w14:paraId="606D516A" w14:textId="3A6D0FF1" w:rsidR="00106AF8" w:rsidRPr="005B420B" w:rsidRDefault="00106AF8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5126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la solicitud</w:t>
            </w:r>
            <w:r w:rsidR="00BF1F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26F3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5CD9382E" w14:textId="7CCFEC20" w:rsidR="00106AF8" w:rsidRPr="00D71853" w:rsidRDefault="00106AF8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8A32AC">
        <w:trPr>
          <w:trHeight w:val="44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1C199A7D" w14:textId="26B2F5E4" w:rsidR="00106AF8" w:rsidRPr="00106AF8" w:rsidRDefault="005B420B" w:rsidP="008A32AC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BF1F1F">
        <w:tc>
          <w:tcPr>
            <w:tcW w:w="2835" w:type="dxa"/>
            <w:vAlign w:val="center"/>
          </w:tcPr>
          <w:p w14:paraId="7F60179D" w14:textId="6D9F1ACB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  <w:r w:rsidR="007C06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7A673FF8" w14:textId="647BA4E4" w:rsidR="00BF1F1F" w:rsidRDefault="00A5608D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6BB">
              <w:rPr>
                <w:rFonts w:ascii="Arial" w:hAnsi="Arial" w:cs="Arial"/>
                <w:sz w:val="22"/>
                <w:szCs w:val="22"/>
              </w:rPr>
              <w:t>En cumplimiento del Programa de Almacenamiento y Realmacenamiento GD01-F29 del Plan de Conservación Documental GD01-F23 del Sistema Integrado de Conservación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, la Entidad debe utilizar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99F">
              <w:rPr>
                <w:rFonts w:ascii="Arial" w:hAnsi="Arial" w:cs="Arial"/>
                <w:sz w:val="22"/>
                <w:szCs w:val="22"/>
              </w:rPr>
              <w:t xml:space="preserve">insumos de oficina con </w:t>
            </w:r>
            <w:r w:rsidR="003E22D0">
              <w:rPr>
                <w:rFonts w:ascii="Arial" w:hAnsi="Arial" w:cs="Arial"/>
                <w:sz w:val="22"/>
                <w:szCs w:val="22"/>
              </w:rPr>
              <w:t>materiales</w:t>
            </w:r>
            <w:r w:rsidR="003D099F">
              <w:rPr>
                <w:rFonts w:ascii="Arial" w:hAnsi="Arial" w:cs="Arial"/>
                <w:sz w:val="22"/>
                <w:szCs w:val="22"/>
              </w:rPr>
              <w:t xml:space="preserve"> calidad</w:t>
            </w:r>
            <w:r w:rsidR="00D0545E">
              <w:rPr>
                <w:rFonts w:ascii="Arial" w:hAnsi="Arial" w:cs="Arial"/>
                <w:sz w:val="22"/>
                <w:szCs w:val="22"/>
              </w:rPr>
              <w:t xml:space="preserve"> archivo</w:t>
            </w:r>
            <w:r w:rsidR="003D099F">
              <w:rPr>
                <w:rFonts w:ascii="Arial" w:hAnsi="Arial" w:cs="Arial"/>
                <w:sz w:val="22"/>
                <w:szCs w:val="22"/>
              </w:rPr>
              <w:t>,</w:t>
            </w:r>
            <w:r w:rsidR="003E22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2FF">
              <w:rPr>
                <w:rFonts w:ascii="Arial" w:hAnsi="Arial" w:cs="Arial"/>
                <w:sz w:val="22"/>
                <w:szCs w:val="22"/>
              </w:rPr>
              <w:t xml:space="preserve">que faciliten la manipulación </w:t>
            </w:r>
            <w:r w:rsidR="003E22D0">
              <w:rPr>
                <w:rFonts w:ascii="Arial" w:hAnsi="Arial" w:cs="Arial"/>
                <w:sz w:val="22"/>
                <w:szCs w:val="22"/>
              </w:rPr>
              <w:t>de la documentación como</w:t>
            </w:r>
            <w:r w:rsidR="003E22D0" w:rsidRPr="00B46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87D">
              <w:rPr>
                <w:rFonts w:ascii="Arial" w:hAnsi="Arial" w:cs="Arial"/>
                <w:sz w:val="22"/>
                <w:szCs w:val="22"/>
              </w:rPr>
              <w:t xml:space="preserve">de las 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>unidades de almacenamiento</w:t>
            </w:r>
            <w:r w:rsidR="00D0545E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con el objeto de garantizar la conservación de los soportes documentales sin alterar la integridad</w:t>
            </w:r>
            <w:r w:rsidR="00D0545E">
              <w:rPr>
                <w:rFonts w:ascii="Arial" w:hAnsi="Arial" w:cs="Arial"/>
                <w:sz w:val="22"/>
                <w:szCs w:val="22"/>
              </w:rPr>
              <w:t xml:space="preserve"> ni funcionalidad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925" w:rsidRPr="00B46AFB">
              <w:rPr>
                <w:rFonts w:ascii="Arial" w:hAnsi="Arial" w:cs="Arial"/>
                <w:sz w:val="22"/>
                <w:szCs w:val="22"/>
              </w:rPr>
              <w:t>de este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135EE6" w14:textId="77777777" w:rsidR="009A3B22" w:rsidRDefault="009A3B22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Estos elementos se utilizarán en aquellas áreas</w:t>
            </w:r>
            <w:r w:rsidR="00D0545E">
              <w:rPr>
                <w:rFonts w:ascii="Arial" w:hAnsi="Arial" w:cs="Arial"/>
                <w:sz w:val="22"/>
                <w:szCs w:val="22"/>
              </w:rPr>
              <w:t xml:space="preserve"> institucionales y</w:t>
            </w:r>
            <w:r>
              <w:rPr>
                <w:rFonts w:ascii="Arial" w:hAnsi="Arial" w:cs="Arial"/>
                <w:sz w:val="22"/>
                <w:szCs w:val="22"/>
              </w:rPr>
              <w:t xml:space="preserve">/o dependencias donde se presenta </w:t>
            </w:r>
            <w:r w:rsidR="00B553FD">
              <w:rPr>
                <w:rFonts w:ascii="Arial" w:hAnsi="Arial" w:cs="Arial"/>
                <w:sz w:val="22"/>
                <w:szCs w:val="22"/>
              </w:rPr>
              <w:t>alta consulta y manipulación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por encontrarse en </w:t>
            </w:r>
            <w:r w:rsidR="00543461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etapa de gestión</w:t>
            </w:r>
            <w:r w:rsidR="00764D8C">
              <w:rPr>
                <w:rFonts w:ascii="Arial" w:hAnsi="Arial" w:cs="Arial"/>
                <w:sz w:val="22"/>
                <w:szCs w:val="22"/>
              </w:rPr>
              <w:t xml:space="preserve"> y es una medida de carácter temporal.</w:t>
            </w:r>
            <w:r w:rsidR="00FD0DEC">
              <w:rPr>
                <w:rFonts w:ascii="Arial" w:hAnsi="Arial" w:cs="Arial"/>
                <w:sz w:val="22"/>
                <w:szCs w:val="22"/>
              </w:rPr>
              <w:t xml:space="preserve"> Aclarando que, dependiendo de la cantidad de documentos, se deben conformar carpetas, cada una con máximo 200 folios, de acuerdo con la norma establecida. Así mismo, se emplearán para </w:t>
            </w:r>
            <w:r w:rsidR="00D0545E">
              <w:rPr>
                <w:rFonts w:ascii="Arial" w:hAnsi="Arial" w:cs="Arial"/>
                <w:sz w:val="22"/>
                <w:szCs w:val="22"/>
              </w:rPr>
              <w:t xml:space="preserve">legajar los expedientes </w:t>
            </w:r>
            <w:r w:rsidR="00FD0DEC">
              <w:rPr>
                <w:rFonts w:ascii="Arial" w:hAnsi="Arial" w:cs="Arial"/>
                <w:sz w:val="22"/>
                <w:szCs w:val="22"/>
              </w:rPr>
              <w:t>sólo cuando éstos salgan de la Entidad, a entes de control o a juzgados</w:t>
            </w:r>
            <w:r w:rsidR="00D0545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6D44E" w14:textId="3361CBF2" w:rsidR="00492E07" w:rsidRPr="00106AF8" w:rsidRDefault="00492E07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DA5371" w:rsidRPr="00106AF8" w14:paraId="0AF96312" w14:textId="77777777" w:rsidTr="008A32AC">
        <w:trPr>
          <w:trHeight w:val="51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A5A72F8" w14:textId="49E7777E" w:rsidR="00DA5371" w:rsidRPr="00106AF8" w:rsidRDefault="003737ED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Gancho legajador plástico largo </w:t>
            </w:r>
            <w:r w:rsidR="00526842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18cm</w:t>
            </w:r>
          </w:p>
        </w:tc>
      </w:tr>
      <w:tr w:rsidR="00106AF8" w:rsidRPr="00106AF8" w14:paraId="41EB1E30" w14:textId="77777777" w:rsidTr="00BF1F1F">
        <w:trPr>
          <w:trHeight w:val="656"/>
        </w:trPr>
        <w:tc>
          <w:tcPr>
            <w:tcW w:w="2835" w:type="dxa"/>
          </w:tcPr>
          <w:p w14:paraId="4D783B50" w14:textId="7C568223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42819AC" w14:textId="77777777" w:rsidR="0056709D" w:rsidRDefault="007D4077" w:rsidP="00330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077">
              <w:rPr>
                <w:rFonts w:ascii="Arial" w:hAnsi="Arial" w:cs="Arial"/>
                <w:sz w:val="22"/>
                <w:szCs w:val="22"/>
              </w:rPr>
              <w:t>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elaborado en </w:t>
            </w:r>
            <w:r w:rsidR="007D3606">
              <w:rPr>
                <w:rFonts w:ascii="Arial" w:hAnsi="Arial" w:cs="Arial"/>
                <w:sz w:val="22"/>
                <w:szCs w:val="22"/>
              </w:rPr>
              <w:t>p</w:t>
            </w:r>
            <w:r w:rsidR="00504385">
              <w:rPr>
                <w:rFonts w:ascii="Arial" w:hAnsi="Arial" w:cs="Arial"/>
                <w:sz w:val="22"/>
                <w:szCs w:val="22"/>
              </w:rPr>
              <w:t>lástico 100%</w:t>
            </w:r>
            <w:r w:rsidR="00E224F7">
              <w:rPr>
                <w:rFonts w:ascii="Arial" w:hAnsi="Arial" w:cs="Arial"/>
                <w:sz w:val="22"/>
                <w:szCs w:val="22"/>
              </w:rPr>
              <w:t>,</w:t>
            </w:r>
            <w:r w:rsidR="007D3606">
              <w:rPr>
                <w:rFonts w:ascii="Arial" w:hAnsi="Arial" w:cs="Arial"/>
                <w:sz w:val="22"/>
                <w:szCs w:val="22"/>
              </w:rPr>
              <w:t xml:space="preserve"> transparente</w:t>
            </w:r>
            <w:r w:rsidR="00526842">
              <w:rPr>
                <w:rFonts w:ascii="Arial" w:hAnsi="Arial" w:cs="Arial"/>
                <w:sz w:val="22"/>
                <w:szCs w:val="22"/>
              </w:rPr>
              <w:t>,</w:t>
            </w:r>
            <w:r w:rsidR="007D3606">
              <w:rPr>
                <w:rFonts w:ascii="Arial" w:hAnsi="Arial" w:cs="Arial"/>
                <w:sz w:val="22"/>
                <w:szCs w:val="22"/>
              </w:rPr>
              <w:t xml:space="preserve"> de alta calidad, </w:t>
            </w:r>
            <w:r w:rsidR="0067531D">
              <w:rPr>
                <w:rFonts w:ascii="Arial" w:hAnsi="Arial" w:cs="Arial"/>
                <w:sz w:val="22"/>
                <w:szCs w:val="22"/>
              </w:rPr>
              <w:t>de dos (2) piezas</w:t>
            </w:r>
            <w:r w:rsidR="00CC0F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C5D18">
              <w:rPr>
                <w:rFonts w:ascii="Arial" w:hAnsi="Arial" w:cs="Arial"/>
                <w:sz w:val="22"/>
                <w:szCs w:val="22"/>
              </w:rPr>
              <w:t>con filamento de 18cm</w:t>
            </w:r>
            <w:r w:rsidR="006E26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3606">
              <w:rPr>
                <w:rFonts w:ascii="Arial" w:hAnsi="Arial" w:cs="Arial"/>
                <w:sz w:val="22"/>
                <w:szCs w:val="22"/>
              </w:rPr>
              <w:t>distancia entre perforaciones entre 7 y 8 cm</w:t>
            </w:r>
            <w:r w:rsidR="005670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8859D6" w14:textId="42092BAC" w:rsidR="00106AF8" w:rsidRPr="00330CE3" w:rsidRDefault="0056709D" w:rsidP="00330C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269FB">
              <w:rPr>
                <w:rFonts w:ascii="Arial" w:hAnsi="Arial" w:cs="Arial"/>
                <w:sz w:val="22"/>
                <w:szCs w:val="22"/>
              </w:rPr>
              <w:t>o manchan los documentos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330C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0CE3" w:rsidRPr="00571011">
              <w:rPr>
                <w:rFonts w:ascii="Arial" w:hAnsi="Arial" w:cs="Arial"/>
                <w:sz w:val="22"/>
                <w:szCs w:val="22"/>
              </w:rPr>
              <w:t>los b</w:t>
            </w:r>
            <w:r w:rsidR="00330CE3" w:rsidRPr="00571011">
              <w:rPr>
                <w:rFonts w:ascii="Arial" w:hAnsi="Arial" w:cs="Arial"/>
                <w:bCs/>
                <w:sz w:val="22"/>
                <w:szCs w:val="22"/>
              </w:rPr>
              <w:t>ordes deben ser redondeados</w:t>
            </w:r>
            <w:r w:rsidR="00F269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D7E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A5555">
              <w:rPr>
                <w:rFonts w:ascii="Arial" w:hAnsi="Arial" w:cs="Arial"/>
                <w:sz w:val="22"/>
                <w:szCs w:val="22"/>
              </w:rPr>
              <w:t xml:space="preserve">su cierre </w:t>
            </w:r>
            <w:r w:rsidR="00583D7E">
              <w:rPr>
                <w:rFonts w:ascii="Arial" w:hAnsi="Arial" w:cs="Arial"/>
                <w:sz w:val="22"/>
                <w:szCs w:val="22"/>
              </w:rPr>
              <w:t xml:space="preserve">se realiza por medio </w:t>
            </w:r>
            <w:r w:rsidR="000A2360">
              <w:rPr>
                <w:rFonts w:ascii="Arial" w:hAnsi="Arial" w:cs="Arial"/>
                <w:sz w:val="22"/>
                <w:szCs w:val="22"/>
              </w:rPr>
              <w:t>de enganche.</w:t>
            </w:r>
          </w:p>
        </w:tc>
      </w:tr>
      <w:tr w:rsidR="00106AF8" w:rsidRPr="00106AF8" w14:paraId="37351997" w14:textId="77777777" w:rsidTr="00BF1F1F">
        <w:tc>
          <w:tcPr>
            <w:tcW w:w="2835" w:type="dxa"/>
          </w:tcPr>
          <w:p w14:paraId="73F20129" w14:textId="24C3E8B6" w:rsidR="00106AF8" w:rsidRPr="00106AF8" w:rsidRDefault="009B5925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237" w:type="dxa"/>
          </w:tcPr>
          <w:p w14:paraId="3D53928F" w14:textId="05EC5523" w:rsidR="00783978" w:rsidRPr="00FA6EA3" w:rsidRDefault="00783978" w:rsidP="0078397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ganchos legajadores plásticos de 1</w:t>
            </w:r>
            <w:r w:rsidR="00FC5F62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cm deben cumplir con los siguientes parámetros adicionales: </w:t>
            </w:r>
          </w:p>
          <w:p w14:paraId="14134C23" w14:textId="435C9C21" w:rsidR="0023547E" w:rsidRPr="0023547E" w:rsidRDefault="0023547E" w:rsidP="0078397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Elaborado en polipropileno de alta densidad.</w:t>
            </w:r>
          </w:p>
          <w:p w14:paraId="41133519" w14:textId="2E15C42A" w:rsidR="00AD6D50" w:rsidRPr="00AD6D50" w:rsidRDefault="00AD6D50" w:rsidP="0078397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Flexible.</w:t>
            </w:r>
          </w:p>
          <w:p w14:paraId="00FA5C68" w14:textId="671960F1" w:rsidR="00AD6D50" w:rsidRPr="00FD039F" w:rsidRDefault="00AD6D50" w:rsidP="0078397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Durable</w:t>
            </w:r>
            <w:r w:rsidR="00FD039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3A8F61C" w14:textId="4F110299" w:rsidR="00FD039F" w:rsidRPr="00F92499" w:rsidRDefault="00FD039F" w:rsidP="0078397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Resistente.</w:t>
            </w:r>
          </w:p>
          <w:p w14:paraId="5A9D78F4" w14:textId="7E7C857F" w:rsidR="00F92499" w:rsidRPr="00AD6D50" w:rsidRDefault="00F92499" w:rsidP="0078397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 neutro.</w:t>
            </w:r>
          </w:p>
          <w:p w14:paraId="4A2A3EE8" w14:textId="2B92474F" w:rsidR="00783978" w:rsidRPr="00C528A0" w:rsidRDefault="00783978" w:rsidP="0078397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Material </w:t>
            </w:r>
            <w:r w:rsidR="009F3D7F">
              <w:rPr>
                <w:rFonts w:ascii="Arial" w:hAnsi="Arial" w:cs="Arial"/>
                <w:bCs/>
                <w:sz w:val="22"/>
                <w:szCs w:val="22"/>
              </w:rPr>
              <w:t>anti</w:t>
            </w:r>
            <w:r>
              <w:rPr>
                <w:rFonts w:ascii="Arial" w:hAnsi="Arial" w:cs="Arial"/>
                <w:bCs/>
                <w:sz w:val="22"/>
                <w:szCs w:val="22"/>
              </w:rPr>
              <w:t>oxida</w:t>
            </w:r>
            <w:r w:rsidR="00B710D6">
              <w:rPr>
                <w:rFonts w:ascii="Arial" w:hAnsi="Arial" w:cs="Arial"/>
                <w:bCs/>
                <w:sz w:val="22"/>
                <w:szCs w:val="22"/>
              </w:rPr>
              <w:t>nt</w:t>
            </w:r>
            <w:r>
              <w:rPr>
                <w:rFonts w:ascii="Arial" w:hAnsi="Arial" w:cs="Arial"/>
                <w:bCs/>
                <w:sz w:val="22"/>
                <w:szCs w:val="22"/>
              </w:rPr>
              <w:t>e.</w:t>
            </w:r>
          </w:p>
          <w:p w14:paraId="6A87A42F" w14:textId="176860BF" w:rsidR="00596F7F" w:rsidRPr="0056709D" w:rsidRDefault="00596F7F" w:rsidP="005670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709D">
              <w:rPr>
                <w:rFonts w:ascii="Arial" w:hAnsi="Arial" w:cs="Arial"/>
                <w:bCs/>
                <w:sz w:val="22"/>
                <w:szCs w:val="22"/>
              </w:rPr>
              <w:t>Sin filos</w:t>
            </w:r>
            <w:r w:rsidR="0056709D">
              <w:rPr>
                <w:rFonts w:ascii="Arial" w:hAnsi="Arial" w:cs="Arial"/>
                <w:bCs/>
                <w:sz w:val="22"/>
                <w:szCs w:val="22"/>
              </w:rPr>
              <w:t xml:space="preserve"> o bordes irregulares</w:t>
            </w:r>
            <w:r w:rsidRPr="0056709D">
              <w:rPr>
                <w:rFonts w:ascii="Arial" w:hAnsi="Arial" w:cs="Arial"/>
                <w:bCs/>
                <w:sz w:val="22"/>
                <w:szCs w:val="22"/>
              </w:rPr>
              <w:t xml:space="preserve"> para proteger los documentos</w:t>
            </w:r>
            <w:r w:rsidR="0056709D">
              <w:rPr>
                <w:rFonts w:ascii="Arial" w:hAnsi="Arial" w:cs="Arial"/>
                <w:bCs/>
                <w:sz w:val="22"/>
                <w:szCs w:val="22"/>
              </w:rPr>
              <w:t>, las unidades de conservación y el personal que los manipula.</w:t>
            </w:r>
          </w:p>
          <w:p w14:paraId="2623670D" w14:textId="4DDEEC06" w:rsidR="00CE607D" w:rsidRPr="0023547E" w:rsidRDefault="001979A8" w:rsidP="002354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Recubrimiento</w:t>
            </w:r>
            <w:r w:rsidR="00DE7912">
              <w:rPr>
                <w:rFonts w:ascii="Arial" w:hAnsi="Arial" w:cs="Arial"/>
                <w:bCs/>
                <w:sz w:val="22"/>
                <w:szCs w:val="22"/>
              </w:rPr>
              <w:t xml:space="preserve"> de laca para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evitar la oxidación.</w:t>
            </w:r>
          </w:p>
        </w:tc>
      </w:tr>
      <w:tr w:rsidR="00106AF8" w:rsidRPr="00106AF8" w14:paraId="6212804E" w14:textId="77777777" w:rsidTr="00BF1F1F">
        <w:tc>
          <w:tcPr>
            <w:tcW w:w="2835" w:type="dxa"/>
          </w:tcPr>
          <w:p w14:paraId="0B2394B8" w14:textId="0DA2333B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59D20C" w14:textId="0FFC1504" w:rsidR="00C95D0F" w:rsidRDefault="00C95D0F" w:rsidP="00BF1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empa</w:t>
            </w:r>
            <w:r w:rsidR="00A720CA">
              <w:rPr>
                <w:rFonts w:ascii="Arial" w:hAnsi="Arial" w:cs="Arial"/>
                <w:sz w:val="22"/>
                <w:szCs w:val="22"/>
              </w:rPr>
              <w:t>que del 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6F0D08AB" w14:textId="5B87FA37" w:rsidR="00FA6EA3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El </w:t>
            </w:r>
            <w:r w:rsidR="000C77CF">
              <w:rPr>
                <w:rFonts w:ascii="Arial" w:hAnsi="Arial" w:cs="Arial"/>
                <w:sz w:val="22"/>
                <w:szCs w:val="22"/>
              </w:rPr>
              <w:t>embala</w:t>
            </w:r>
            <w:r>
              <w:rPr>
                <w:rFonts w:ascii="Arial" w:hAnsi="Arial" w:cs="Arial"/>
                <w:sz w:val="22"/>
                <w:szCs w:val="22"/>
              </w:rPr>
              <w:t>je debe estar acorde con la cantidad de unidades solicitadas.</w:t>
            </w:r>
          </w:p>
        </w:tc>
      </w:tr>
      <w:tr w:rsidR="00106AF8" w:rsidRPr="00106AF8" w14:paraId="1A8E37AD" w14:textId="77777777" w:rsidTr="00BF1F1F">
        <w:tc>
          <w:tcPr>
            <w:tcW w:w="2835" w:type="dxa"/>
          </w:tcPr>
          <w:p w14:paraId="7AD117A9" w14:textId="22940506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42859ABE" w14:textId="596E57C0" w:rsidR="00106AF8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BF1F1F">
        <w:tc>
          <w:tcPr>
            <w:tcW w:w="2835" w:type="dxa"/>
          </w:tcPr>
          <w:p w14:paraId="3FBB612E" w14:textId="77777777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28C0212" w14:textId="2A0D1BC5" w:rsidR="00106AF8" w:rsidRPr="00106AF8" w:rsidRDefault="00B91F67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BF1F1F">
        <w:tc>
          <w:tcPr>
            <w:tcW w:w="2835" w:type="dxa"/>
          </w:tcPr>
          <w:p w14:paraId="27952412" w14:textId="3742DD06" w:rsidR="00106AF8" w:rsidRPr="00106AF8" w:rsidRDefault="00B91F67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06AD7A42" w14:textId="77777777" w:rsidR="00106AF8" w:rsidRDefault="00106AF8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7A4E9882" w:rsidR="003E53FD" w:rsidRPr="00B55F3A" w:rsidRDefault="00B91F67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BF1F1F">
        <w:tc>
          <w:tcPr>
            <w:tcW w:w="2835" w:type="dxa"/>
          </w:tcPr>
          <w:p w14:paraId="37461F67" w14:textId="6DF9B165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E01748" w14:textId="0A96EA59" w:rsidR="00106AF8" w:rsidRPr="00B55F3A" w:rsidRDefault="00106AF8" w:rsidP="00BF1F1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 w:rsidP="00BF1F1F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A8B6" w14:textId="77777777" w:rsidR="002600A3" w:rsidRDefault="002600A3" w:rsidP="008D23AE">
      <w:r>
        <w:separator/>
      </w:r>
    </w:p>
  </w:endnote>
  <w:endnote w:type="continuationSeparator" w:id="0">
    <w:p w14:paraId="4B63C544" w14:textId="77777777" w:rsidR="002600A3" w:rsidRDefault="002600A3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40D3" w14:textId="77777777" w:rsidR="002600A3" w:rsidRDefault="002600A3" w:rsidP="008D23AE">
      <w:r>
        <w:separator/>
      </w:r>
    </w:p>
  </w:footnote>
  <w:footnote w:type="continuationSeparator" w:id="0">
    <w:p w14:paraId="30A1EFED" w14:textId="77777777" w:rsidR="002600A3" w:rsidRDefault="002600A3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99527">
    <w:abstractNumId w:val="3"/>
  </w:num>
  <w:num w:numId="2" w16cid:durableId="651954723">
    <w:abstractNumId w:val="1"/>
  </w:num>
  <w:num w:numId="3" w16cid:durableId="411511542">
    <w:abstractNumId w:val="2"/>
  </w:num>
  <w:num w:numId="4" w16cid:durableId="34432007">
    <w:abstractNumId w:val="4"/>
  </w:num>
  <w:num w:numId="5" w16cid:durableId="90623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07C86"/>
    <w:rsid w:val="000273FB"/>
    <w:rsid w:val="000316C2"/>
    <w:rsid w:val="00036E2E"/>
    <w:rsid w:val="000512FF"/>
    <w:rsid w:val="0008530B"/>
    <w:rsid w:val="000877C8"/>
    <w:rsid w:val="000979C6"/>
    <w:rsid w:val="000A0AA2"/>
    <w:rsid w:val="000A2360"/>
    <w:rsid w:val="000C2A5C"/>
    <w:rsid w:val="000C77CF"/>
    <w:rsid w:val="000F6E01"/>
    <w:rsid w:val="00106AF8"/>
    <w:rsid w:val="001300FD"/>
    <w:rsid w:val="00170B5F"/>
    <w:rsid w:val="001750D7"/>
    <w:rsid w:val="001979A8"/>
    <w:rsid w:val="001A5555"/>
    <w:rsid w:val="001A7A60"/>
    <w:rsid w:val="001E57C7"/>
    <w:rsid w:val="001F5F42"/>
    <w:rsid w:val="001F7868"/>
    <w:rsid w:val="00221F25"/>
    <w:rsid w:val="0023547E"/>
    <w:rsid w:val="002600A3"/>
    <w:rsid w:val="00284AD4"/>
    <w:rsid w:val="00291DDF"/>
    <w:rsid w:val="00292963"/>
    <w:rsid w:val="00295F1E"/>
    <w:rsid w:val="002D156A"/>
    <w:rsid w:val="002E53C4"/>
    <w:rsid w:val="0032086E"/>
    <w:rsid w:val="00327B17"/>
    <w:rsid w:val="00330CE3"/>
    <w:rsid w:val="0034765F"/>
    <w:rsid w:val="003737ED"/>
    <w:rsid w:val="003C253D"/>
    <w:rsid w:val="003D099F"/>
    <w:rsid w:val="003E22D0"/>
    <w:rsid w:val="003E3E37"/>
    <w:rsid w:val="003E53FD"/>
    <w:rsid w:val="0042200C"/>
    <w:rsid w:val="004300C9"/>
    <w:rsid w:val="004314EE"/>
    <w:rsid w:val="004619C8"/>
    <w:rsid w:val="00481AEB"/>
    <w:rsid w:val="00481B0A"/>
    <w:rsid w:val="0049204E"/>
    <w:rsid w:val="00492E07"/>
    <w:rsid w:val="00497BBE"/>
    <w:rsid w:val="004A42FA"/>
    <w:rsid w:val="004B53C0"/>
    <w:rsid w:val="004D78F6"/>
    <w:rsid w:val="004E512D"/>
    <w:rsid w:val="004F0C89"/>
    <w:rsid w:val="004F2B65"/>
    <w:rsid w:val="0050253C"/>
    <w:rsid w:val="00504385"/>
    <w:rsid w:val="00510F7E"/>
    <w:rsid w:val="005126F3"/>
    <w:rsid w:val="00526842"/>
    <w:rsid w:val="00534085"/>
    <w:rsid w:val="00543461"/>
    <w:rsid w:val="0056709D"/>
    <w:rsid w:val="00583D7E"/>
    <w:rsid w:val="00596F7F"/>
    <w:rsid w:val="005A0DF1"/>
    <w:rsid w:val="005B420B"/>
    <w:rsid w:val="005C5D18"/>
    <w:rsid w:val="005D4797"/>
    <w:rsid w:val="00613AC3"/>
    <w:rsid w:val="00631625"/>
    <w:rsid w:val="00644134"/>
    <w:rsid w:val="00645947"/>
    <w:rsid w:val="00653CC6"/>
    <w:rsid w:val="006739E3"/>
    <w:rsid w:val="0067531D"/>
    <w:rsid w:val="00681017"/>
    <w:rsid w:val="00685E98"/>
    <w:rsid w:val="006A6FE3"/>
    <w:rsid w:val="006E1018"/>
    <w:rsid w:val="006E2662"/>
    <w:rsid w:val="00720A1C"/>
    <w:rsid w:val="00764D8C"/>
    <w:rsid w:val="00775EF3"/>
    <w:rsid w:val="00783978"/>
    <w:rsid w:val="007A7937"/>
    <w:rsid w:val="007C0676"/>
    <w:rsid w:val="007C5CC6"/>
    <w:rsid w:val="007D3606"/>
    <w:rsid w:val="007D4077"/>
    <w:rsid w:val="008005FC"/>
    <w:rsid w:val="008128D0"/>
    <w:rsid w:val="00816BE0"/>
    <w:rsid w:val="0082049E"/>
    <w:rsid w:val="0082187D"/>
    <w:rsid w:val="008262A6"/>
    <w:rsid w:val="00845C8F"/>
    <w:rsid w:val="0087759E"/>
    <w:rsid w:val="008A2AD2"/>
    <w:rsid w:val="008A32AC"/>
    <w:rsid w:val="008D23AE"/>
    <w:rsid w:val="008D64BA"/>
    <w:rsid w:val="008E0341"/>
    <w:rsid w:val="0092021C"/>
    <w:rsid w:val="00923542"/>
    <w:rsid w:val="00925EC1"/>
    <w:rsid w:val="009334B9"/>
    <w:rsid w:val="00962A45"/>
    <w:rsid w:val="009719D4"/>
    <w:rsid w:val="009777EB"/>
    <w:rsid w:val="00996225"/>
    <w:rsid w:val="009A3B22"/>
    <w:rsid w:val="009A53AF"/>
    <w:rsid w:val="009B0DD1"/>
    <w:rsid w:val="009B5925"/>
    <w:rsid w:val="009C2507"/>
    <w:rsid w:val="009C4B1C"/>
    <w:rsid w:val="009D20A9"/>
    <w:rsid w:val="009F047E"/>
    <w:rsid w:val="009F3D7F"/>
    <w:rsid w:val="00A5608D"/>
    <w:rsid w:val="00A60A75"/>
    <w:rsid w:val="00A720CA"/>
    <w:rsid w:val="00A74C8D"/>
    <w:rsid w:val="00A8628D"/>
    <w:rsid w:val="00A953F9"/>
    <w:rsid w:val="00AB2BFA"/>
    <w:rsid w:val="00AC0075"/>
    <w:rsid w:val="00AD6D50"/>
    <w:rsid w:val="00AD748A"/>
    <w:rsid w:val="00B32B97"/>
    <w:rsid w:val="00B46568"/>
    <w:rsid w:val="00B46AFB"/>
    <w:rsid w:val="00B553FD"/>
    <w:rsid w:val="00B55F3A"/>
    <w:rsid w:val="00B710D6"/>
    <w:rsid w:val="00B76084"/>
    <w:rsid w:val="00B808AF"/>
    <w:rsid w:val="00B90E8A"/>
    <w:rsid w:val="00B91F67"/>
    <w:rsid w:val="00BC478B"/>
    <w:rsid w:val="00BE55E2"/>
    <w:rsid w:val="00BF1F1F"/>
    <w:rsid w:val="00C16818"/>
    <w:rsid w:val="00C457FF"/>
    <w:rsid w:val="00C554E3"/>
    <w:rsid w:val="00C80A49"/>
    <w:rsid w:val="00C82B90"/>
    <w:rsid w:val="00C95D0F"/>
    <w:rsid w:val="00CA1C01"/>
    <w:rsid w:val="00CB2FFF"/>
    <w:rsid w:val="00CB5B2F"/>
    <w:rsid w:val="00CC0F87"/>
    <w:rsid w:val="00CE607D"/>
    <w:rsid w:val="00CF4FF3"/>
    <w:rsid w:val="00D02707"/>
    <w:rsid w:val="00D0545E"/>
    <w:rsid w:val="00D24D3A"/>
    <w:rsid w:val="00D50403"/>
    <w:rsid w:val="00D5305F"/>
    <w:rsid w:val="00D6557A"/>
    <w:rsid w:val="00D71853"/>
    <w:rsid w:val="00D75308"/>
    <w:rsid w:val="00D87647"/>
    <w:rsid w:val="00DA3221"/>
    <w:rsid w:val="00DA5371"/>
    <w:rsid w:val="00DA5BDF"/>
    <w:rsid w:val="00DE7912"/>
    <w:rsid w:val="00E224F7"/>
    <w:rsid w:val="00E350CF"/>
    <w:rsid w:val="00E60B91"/>
    <w:rsid w:val="00E94DCB"/>
    <w:rsid w:val="00EA107D"/>
    <w:rsid w:val="00EA27A1"/>
    <w:rsid w:val="00EC2DEA"/>
    <w:rsid w:val="00ED5096"/>
    <w:rsid w:val="00EE72EC"/>
    <w:rsid w:val="00EF5159"/>
    <w:rsid w:val="00F002B9"/>
    <w:rsid w:val="00F269FB"/>
    <w:rsid w:val="00F32413"/>
    <w:rsid w:val="00F33750"/>
    <w:rsid w:val="00F76093"/>
    <w:rsid w:val="00F92499"/>
    <w:rsid w:val="00FA0D11"/>
    <w:rsid w:val="00FA51C8"/>
    <w:rsid w:val="00FA6EA3"/>
    <w:rsid w:val="00FB5C98"/>
    <w:rsid w:val="00FC5F62"/>
    <w:rsid w:val="00FD039F"/>
    <w:rsid w:val="00FD0DEC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14</cp:revision>
  <dcterms:created xsi:type="dcterms:W3CDTF">2020-08-14T17:23:00Z</dcterms:created>
  <dcterms:modified xsi:type="dcterms:W3CDTF">2022-09-09T21:58:00Z</dcterms:modified>
</cp:coreProperties>
</file>